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Prior liability</w:t>
      </w:r>
    </w:p>
    <w:p>
      <w:pPr>
        <w:jc w:val="both"/>
        <w:spacing w:before="100" w:after="100"/>
        <w:ind w:start="360"/>
        <w:ind w:firstLine="360"/>
      </w:pPr>
      <w:r>
        <w:rPr/>
      </w:r>
      <w:r>
        <w:rPr/>
      </w:r>
      <w:r>
        <w:t xml:space="preserve">The enactment of this subchapter does not have the effect of terminating or in any way modifying any liability, civil or criminal, in existence on October 1, 1975.</w:t>
      </w:r>
      <w:r>
        <w:t xml:space="preserve">  </w:t>
      </w:r>
      <w:r xmlns:wp="http://schemas.openxmlformats.org/drawingml/2010/wordprocessingDrawing" xmlns:w15="http://schemas.microsoft.com/office/word/2012/wordml">
        <w:rPr>
          <w:rFonts w:ascii="Arial" w:hAnsi="Arial" w:cs="Arial"/>
          <w:sz w:val="22"/>
          <w:szCs w:val="22"/>
        </w:rPr>
        <w:t xml:space="preserve">[PL 2005, c. 620,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78, §25 (AMD). PL 2005, c. 620,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 Prior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Prior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§623. PRIOR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