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Violations</w:t>
      </w:r>
    </w:p>
    <w:p>
      <w:pPr>
        <w:jc w:val="both"/>
        <w:spacing w:before="100" w:after="100"/>
        <w:ind w:start="360"/>
        <w:ind w:firstLine="360"/>
      </w:pPr>
      <w:r>
        <w:rPr/>
      </w:r>
      <w:r>
        <w:rPr/>
      </w:r>
      <w:r>
        <w:t xml:space="preserve">Any person, firm, partnership, association or corporation who shall violate any of the provisions of </w:t>
      </w:r>
      <w:r>
        <w:t>sections 631</w:t>
      </w:r>
      <w:r>
        <w:t xml:space="preserve"> to </w:t>
      </w:r>
      <w:r>
        <w:t>639</w:t>
      </w:r>
      <w:r>
        <w:t xml:space="preserve"> or shall neglect or refuse to comply with the provisions thereof or any rule or regulation promulgated hereunder commits a civil violation for which the following forfeitures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