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Forfeiture for violations</w:t>
      </w:r>
    </w:p>
    <w:p>
      <w:pPr>
        <w:jc w:val="both"/>
        <w:spacing w:before="100" w:after="100"/>
        <w:ind w:start="360"/>
        <w:ind w:firstLine="360"/>
      </w:pPr>
      <w:r>
        <w:rPr/>
      </w:r>
      <w:r>
        <w:rPr/>
      </w:r>
      <w:r>
        <w:t xml:space="preserve">Any person who violates any provision of this subchapter commits a civil violation for which a fine of not less than $200 must be adjudged.  This subchapter may not be construed to require the commissioner to sue or to issue an order as a result of minor violations of this subchapter, when the commissioner believes that the public interest will best be served by a suitable written warning. In such a case the commissioner shall issue a written warning.</w:t>
      </w:r>
      <w:r>
        <w:t xml:space="preserve">  </w:t>
      </w:r>
      <w:r xmlns:wp="http://schemas.openxmlformats.org/drawingml/2010/wordprocessingDrawing" xmlns:w15="http://schemas.microsoft.com/office/word/2012/wordml">
        <w:rPr>
          <w:rFonts w:ascii="Arial" w:hAnsi="Arial" w:cs="Arial"/>
          <w:sz w:val="22"/>
          <w:szCs w:val="22"/>
        </w:rPr>
        <w:t xml:space="preserve">[RR 2021, c. 1, Pt. B, §110 (COR).]</w:t>
      </w:r>
    </w:p>
    <w:p>
      <w:pPr>
        <w:jc w:val="both"/>
        <w:spacing w:before="100" w:after="100"/>
        <w:ind w:start="360"/>
        <w:ind w:firstLine="360"/>
      </w:pPr>
      <w:r>
        <w:rPr/>
      </w:r>
      <w:r>
        <w:rPr/>
      </w:r>
      <w:r>
        <w:t xml:space="preserve">The commissioner may apply for a temporary or permanent injunction restraining any person from violating or continuing to violate this subchapter, notwithstanding the existence of other remedies at law. The injunction shall be issued without bond being required of the State.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 Forfeiture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Forfeiture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§784. FORFEITURE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