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§892-A. Official grade standards for maple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§892-A. Official grade standards for maple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§892-A. OFFICIAL GRADE STANDARDS FOR MAPLE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