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896</w:t>
        <w:t xml:space="preserve">.  </w:t>
      </w:r>
      <w:r>
        <w:rPr>
          <w:b/>
        </w:rPr>
        <w:t xml:space="preserve">Exemptions</w:t>
      </w:r>
    </w:p>
    <w:p>
      <w:pPr>
        <w:jc w:val="both"/>
        <w:spacing w:before="100" w:after="100"/>
        <w:ind w:start="360"/>
        <w:ind w:firstLine="360"/>
      </w:pPr>
      <w:r>
        <w:rPr/>
      </w:r>
      <w:r>
        <w:rPr/>
      </w:r>
      <w:r>
        <w:t xml:space="preserve">Any producer selling to another producer or packer is exempt, except if containers are labeled with a grade, the contents of that container shall meet the grade marked on that container.</w:t>
      </w:r>
      <w:r>
        <w:t xml:space="preserve">  </w:t>
      </w:r>
      <w:r xmlns:wp="http://schemas.openxmlformats.org/drawingml/2010/wordprocessingDrawing" xmlns:w15="http://schemas.microsoft.com/office/word/2012/wordml">
        <w:rPr>
          <w:rFonts w:ascii="Arial" w:hAnsi="Arial" w:cs="Arial"/>
          <w:sz w:val="22"/>
          <w:szCs w:val="22"/>
        </w:rPr>
        <w:t xml:space="preserve">[PL 1979, c. 541, Pt. A,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PL 1979, c. 541, §A58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§896.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§896.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§896.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