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13-B</w:t>
        <w:t xml:space="preserve">.  </w:t>
      </w:r>
      <w:r>
        <w:rPr>
          <w:b/>
        </w:rPr>
        <w:t xml:space="preserve">Facility-based monitoring system.</w:t>
        <w:t xml:space="preserve"> </w:t>
      </w:r>
      <w:r>
        <w:t xml:space="preserve"> </w:t>
      </w:r>
      <w:r>
        <w:t xml:space="preserve">"Facility-based monitoring system" means an on-site computer system at a casino or slot machine facility that is accessible by the department to which all slot machines at the casino or slot machine facility communicate for the purpose of auditing capacity and real-time information retrieval of the details of any financial event that occurs in the operation of the casino or slot machine facility, door openings and closings, power failure and malfunction.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 (NEW); PL 2023, c. 549, §15 (AFF).]</w:t>
      </w:r>
    </w:p>
    <w:p>
      <w:pPr>
        <w:jc w:val="both"/>
        <w:spacing w:before="100" w:after="0"/>
        <w:ind w:start="360"/>
      </w:pPr>
      <w:r>
        <w:rPr>
          <w:b w:val="true"/>
          <w:i/>
          <w:caps w:val="true"/>
        </w:rPr>
        <w:t xml:space="preserve">Revisor's Note: </w:t>
      </w:r>
      <w:r>
        <w:t>(Subsection 13-B as enacted by PL 2023, c. 635, §1 is REALLOCATED TO TITLE 8, SECTION 1001, SUBSECTION 13-C)
</w:t>
      </w:r>
    </w:p>
    <w:p>
      <w:pPr>
        <w:jc w:val="both"/>
        <w:spacing w:before="100" w:after="0"/>
        <w:ind w:start="360"/>
        <w:ind w:firstLine="360"/>
      </w:pPr>
      <w:r>
        <w:rPr>
          <w:b/>
        </w:rPr>
        <w:t>13-C</w:t>
        <w:t xml:space="preserve">.  </w:t>
      </w:r>
      <w:r>
        <w:rPr>
          <w:b/>
        </w:rPr>
        <w:t>(REALLOCATED FROM T. 8, §1001, sub-§13-B)</w:t>
        <w:t xml:space="preserve"> </w:t>
      </w:r>
      <w:r>
        <w:rPr>
          <w:b/>
        </w:rPr>
        <w:t xml:space="preserve">Fantasy contest.</w:t>
        <w:t xml:space="preserve"> </w:t>
      </w:r>
      <w:r>
        <w:t xml:space="preserve"> </w:t>
      </w:r>
      <w:r>
        <w:t xml:space="preserve">"Fantasy contest" has the same meaning as in section 1101,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 (NEW); RR 2023, c. 2, Pt. A, §17 (RAL).]</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42-A</w:t>
        <w:t xml:space="preserve">.  </w:t>
      </w:r>
      <w:r>
        <w:rPr>
          <w:b/>
        </w:rPr>
        <w:t xml:space="preserve">Sports wagering.</w:t>
        <w:t xml:space="preserve"> </w:t>
      </w:r>
      <w:r>
        <w:t xml:space="preserve"> </w:t>
      </w:r>
      <w:r>
        <w:t xml:space="preserve">"Sports wagering" has the same meaning as in </w:t>
      </w:r>
      <w:r>
        <w:t>section 1202,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§2 (NEW).]</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PL 2023, c. 549, §1 (NEW). PL 2023, c. 549, §15 (AFF). PL 2023, c. 635, §§1, 2 (AMD). RR 2023,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