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Distribution of advance deposit wagering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§1072. DISTRIBUTION OF ADVANCE DEPOSIT WAGERING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