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 Fund to Encourage Racing at Maine's Commercial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Fund to Encourage Racing at Maine's Commercial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§299. FUND TO ENCOURAGE RACING AT MAINE'S COMMERCIAL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