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Promotion fees</w:t>
      </w:r>
    </w:p>
    <w:p>
      <w:pPr>
        <w:jc w:val="both"/>
        <w:spacing w:before="100" w:after="100"/>
        <w:ind w:start="360"/>
        <w:ind w:firstLine="360"/>
      </w:pPr>
      <w:r>
        <w:rPr/>
      </w:r>
      <w:r>
        <w:rPr/>
      </w:r>
      <w:r>
        <w:t xml:space="preserve">In addition to the requirements set by rule pursuant to </w:t>
      </w:r>
      <w:r>
        <w:t>section 523</w:t>
      </w:r>
      <w:r>
        <w:t xml:space="preserve">, a promoter of a mixed martial arts, Muay Thai, kickboxing or boxing competition, exhibition or event authorized under this chapter must pay a fee set by the authority in advance of the mixed martial arts, Muay Thai, kickboxing or boxing competition, exhibition or event.  A promoter who fails to pay the fee required pursuant to this section is prohibited from promoting the competition as well as any further competitions, exhibitions or events held under this chapter until the fee and any penalties are paid in full or satisfactory arrangements are made with the authority.</w:t>
      </w:r>
      <w:r>
        <w:t xml:space="preserve">  </w:t>
      </w:r>
      <w:r xmlns:wp="http://schemas.openxmlformats.org/drawingml/2010/wordprocessingDrawing" xmlns:w15="http://schemas.microsoft.com/office/word/2012/wordml">
        <w:rPr>
          <w:rFonts w:ascii="Arial" w:hAnsi="Arial" w:cs="Arial"/>
          <w:sz w:val="22"/>
          <w:szCs w:val="22"/>
        </w:rPr>
        <w:t xml:space="preserve">[PL 2023, c. 152,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§6 (AMD). PL 2023, c. 152,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Promotion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Promotion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§524. PROMOTION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