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12-105</w:t>
        <w:t xml:space="preserve">.  </w:t>
      </w:r>
      <w:r>
        <w:rPr>
          <w:b/>
        </w:rPr>
        <w:t xml:space="preserve">Fee requirements</w:t>
      </w:r>
    </w:p>
    <w:p>
      <w:pPr>
        <w:jc w:val="both"/>
        <w:spacing w:before="100" w:after="0"/>
        <w:ind w:start="360"/>
        <w:ind w:firstLine="360"/>
      </w:pPr>
      <w:r>
        <w:rPr>
          <w:b/>
        </w:rPr>
        <w:t>1</w:t>
        <w:t xml:space="preserve">.  </w:t>
      </w:r>
      <w:r>
        <w:rPr>
          <w:b/>
        </w:rPr>
      </w:r>
      <w:r>
        <w:t xml:space="preserve"> </w:t>
      </w:r>
      <w:r>
        <w:t xml:space="preserve">A litigation funding provider may not assess fees for any period exceeding 42 months from the date of the contract with the civil litigant.</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2007, c. 394, §1 (NEW); PL 2007, c. 394, §3 (AFF).]</w:t>
      </w:r>
    </w:p>
    <w:p>
      <w:pPr>
        <w:jc w:val="both"/>
        <w:spacing w:before="100" w:after="0"/>
        <w:ind w:start="360"/>
        <w:ind w:firstLine="360"/>
      </w:pPr>
      <w:r>
        <w:rPr>
          <w:b/>
        </w:rPr>
        <w:t>2</w:t>
        <w:t xml:space="preserve">.  </w:t>
      </w:r>
      <w:r>
        <w:rPr>
          <w:b/>
        </w:rPr>
      </w:r>
      <w:r>
        <w:t xml:space="preserve"> </w:t>
      </w:r>
      <w:r>
        <w:t xml:space="preserve">Fees assessed by a litigation funding provider may compound semiannually but may not compound based on any lesser time period.</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2007, c. 394, §1 (NEW); PL 2007, c. 394, §3 (AFF).]</w:t>
      </w:r>
    </w:p>
    <w:p>
      <w:pPr>
        <w:jc w:val="both"/>
        <w:spacing w:before="100" w:after="0"/>
        <w:ind w:start="360"/>
        <w:ind w:firstLine="360"/>
      </w:pPr>
      <w:r>
        <w:rPr>
          <w:b/>
        </w:rPr>
        <w:t>3</w:t>
        <w:t xml:space="preserve">.  </w:t>
      </w:r>
      <w:r>
        <w:rPr>
          <w:b/>
        </w:rPr>
      </w:r>
      <w:r>
        <w:t xml:space="preserve"> </w:t>
      </w:r>
      <w:r>
        <w:t xml:space="preserve">In calculating the annual percentage fee or rate of return, a litigation funding provider must include all charges payable directly or indirectly by the consumer, and must compute the rate based only on amounts actually received and retained by a consumer.</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2007, c. 394, §1 (NEW); PL 2007, c. 394, §3 (AFF).]</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2007, c. 394, §1 (NEW). PL 2007, c. 394, §3 (AFF).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§12-105. Fee requirements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§12-105. Fee requirements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9-A, §12-105. FEE REQUIREMENTS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