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Finance charge for consumer credit sales other than open-end credit</w:t>
      </w:r>
    </w:p>
    <w:p>
      <w:pPr>
        <w:jc w:val="both"/>
        <w:spacing w:before="100" w:after="0"/>
        <w:ind w:start="360"/>
        <w:ind w:firstLine="360"/>
      </w:pPr>
      <w:r>
        <w:rPr>
          <w:b/>
        </w:rPr>
        <w:t>1</w:t>
        <w:t xml:space="preserve">.  </w:t>
      </w:r>
      <w:r>
        <w:rPr>
          <w:b/>
        </w:rPr>
      </w:r>
      <w:r>
        <w:t xml:space="preserve"> </w:t>
      </w:r>
      <w:r>
        <w:t xml:space="preserve">With respect to a consumer credit sale, other than a sale pursuant to open-end credit, a seller may contract for and receive a finance charge not exceeding that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finance charge, calculated according to the actuarial method, may not exceed the equivalent of the greater of either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$1,000 or less;</w:t>
      </w:r>
    </w:p>
    <w:p>
      <w:pPr>
        <w:jc w:val="both"/>
        <w:spacing w:before="100" w:after="0"/>
        <w:ind w:start="1080"/>
      </w:pPr>
      <w:r>
        <w:rPr/>
        <w:t>(</w:t>
        <w:t>ii</w:t>
        <w:t xml:space="preserve">)  </w:t>
      </w:r>
      <w:r>
        <w:rPr/>
      </w:r>
      <w:r>
        <w:t xml:space="preserve">21% per year on that part of the unpaid balances of the amount financed that is more than $1,000 but does not exceed $2,800; and</w:t>
      </w:r>
    </w:p>
    <w:p>
      <w:pPr>
        <w:jc w:val="both"/>
        <w:spacing w:before="100" w:after="0"/>
        <w:ind w:start="1080"/>
      </w:pPr>
      <w:r>
        <w:rPr/>
        <w:t>(</w:t>
        <w:t>iii</w:t>
        <w:t xml:space="preserve">)  </w:t>
      </w:r>
      <w:r>
        <w:rPr/>
      </w:r>
      <w:r>
        <w:t xml:space="preserve">15% per year on that part of the unpaid balances of the amount financed that is more than $2,800; or</w:t>
      </w:r>
      <w:r>
        <w:t xml:space="preserve">  </w:t>
      </w:r>
      <w:r xmlns:wp="http://schemas.openxmlformats.org/drawingml/2010/wordprocessingDrawing" xmlns:w15="http://schemas.microsoft.com/office/word/2012/wordml">
        <w:rPr>
          <w:rFonts w:ascii="Arial" w:hAnsi="Arial" w:cs="Arial"/>
          <w:sz w:val="22"/>
          <w:szCs w:val="22"/>
        </w:rPr>
        <w:t xml:space="preserve">[PL 1997, c. 727, Pt. B, §3 (AMD).]</w:t>
      </w:r>
    </w:p>
    <w:p>
      <w:pPr>
        <w:jc w:val="both"/>
        <w:spacing w:before="100" w:after="0"/>
        <w:ind w:start="720"/>
      </w:pPr>
      <w:r>
        <w:rPr/>
        <w:t>B</w:t>
        <w:t xml:space="preserve">.  </w:t>
      </w:r>
      <w:r>
        <w:rPr/>
      </w:r>
      <w:r>
        <w:t xml:space="preserve">18% per year on the unpaid balances of the amount financed.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§3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sale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the term of a sale agreement commences with the date the credit is granted or, if goods are delivered or services performed 10 days or more after that date, with the date of commencement of performance or with the date of completion of delivery. For purposes of this section, a sale agreement does not commence upon the transfer of merchandise certificates, but commences only upon the date goods are delivered or services performed. For purposes of this section, delivery and performance include delivery or performance by a subcontractor or agent of the seller. Differences in the lengths of months are disregarded and a day may be counted as 1/30th of a month. Subject to classifications and differentiations the seller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Subject to classifications and differentiations the seller may reasonably establish, he may make the same finance charge on all amounts financed within a specified range.  A finance charge so made does not violate </w:t>
      </w:r>
      <w:r>
        <w:t>subsection 2</w:t>
      </w:r>
      <w:r>
        <w:t xml:space="preserve"> if:</w:t>
      </w:r>
    </w:p>
    <w:p>
      <w:pPr>
        <w:jc w:val="both"/>
        <w:spacing w:before="100" w:after="0"/>
        <w:ind w:start="720"/>
      </w:pPr>
      <w:r>
        <w:rPr/>
        <w:t>A</w:t>
        <w:t xml:space="preserve">.  </w:t>
      </w:r>
      <w:r>
        <w:rPr/>
      </w:r>
      <w:r>
        <w:t xml:space="preserve">When applied to the median amount within each range, it does not exceed the maximum permitted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When applied to the lowest amount within each range, it does not produce a rate of finance charge exceeding the rate calculated according to </w:t>
      </w:r>
      <w:r>
        <w:t>paragraph A</w:t>
      </w:r>
      <w:r>
        <w:t xml:space="preserve"> by more than 8% of the rate calculated according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6</w:t>
        <w:t xml:space="preserve">.  </w:t>
      </w:r>
      <w:r>
        <w:rPr>
          <w:b/>
        </w:rPr>
      </w:r>
      <w:r>
        <w:t xml:space="preserve"> </w:t>
      </w:r>
      <w:r>
        <w:t xml:space="preserve">Notwithstanding </w:t>
      </w:r>
      <w:r>
        <w:t>subsection 2</w:t>
      </w:r>
      <w:r>
        <w:t xml:space="preserve">, the seller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B</w:t>
        <w:t xml:space="preserve">.  </w:t>
      </w:r>
      <w:r>
        <w:rPr/>
      </w:r>
      <w:r>
        <w:t xml:space="preserve">Seven dollars and fifty cents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C</w:t>
        <w:t xml:space="preserve">.  </w:t>
      </w:r>
      <w:r>
        <w:rPr/>
      </w:r>
      <w:r>
        <w:t xml:space="preserve">Twenty-five dollars when the amount financed is $250 or more and when, within 30 days from the date of the transaction, the agreement is assigned by the seller, other than a seller of motor vehicles, to an assignee having no corporate relationship to the seller-assignor.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298, §1 (RPR).]</w:t>
      </w:r>
    </w:p>
    <w:p>
      <w:pPr>
        <w:jc w:val="both"/>
        <w:spacing w:before="100" w:after="0"/>
        <w:ind w:start="360"/>
        <w:ind w:firstLine="360"/>
      </w:pPr>
      <w:r>
        <w:rPr>
          <w:b/>
        </w:rPr>
        <w:t>7</w:t>
        <w:t xml:space="preserve">.  </w:t>
      </w:r>
      <w:r>
        <w:rPr>
          <w:b/>
        </w:rPr>
      </w:r>
      <w:r>
        <w:t xml:space="preserve"> </w:t>
      </w:r>
      <w:r>
        <w:t xml:space="preserve">The finance charge on any transaction involving the credit sale of goods or services used in the modernization, rehabilitation, repair, alteration or improvement of real property, in which the seller or his agent installs the goods or provides the services related to the modernization, rehabilitation, repair, alteration or improvement of the real property, may not exceed 18% per year on the unpaid balances of the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B, §§3-4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§4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188, §1 (RP).]</w:t>
      </w:r>
    </w:p>
    <w:p>
      <w:pPr>
        <w:jc w:val="both"/>
        <w:spacing w:before="100" w:after="0"/>
        <w:ind w:start="360"/>
        <w:ind w:firstLine="360"/>
      </w:pPr>
      <w:r>
        <w:rPr>
          <w:b/>
        </w:rPr>
        <w:t>9-A</w:t>
        <w:t xml:space="preserve">.  </w:t>
      </w:r>
      <w:r>
        <w:rPr>
          <w:b/>
        </w:rPr>
      </w:r>
      <w:r>
        <w:t xml:space="preserve"> </w:t>
      </w:r>
      <w:r>
        <w:t xml:space="preserve">Notwithstanding any other provision of law, the finance charge on a consumer credit sale of a motor vehicle, as defined in this section, that is sold on or after January 1, 1994 may not exceed 18% per year on the unpaid balance of the amount financed.  For the purposes of this section, "motor vehicle" means any self-propelled vehicle not operated exclusively on tracks, except agricultural machinery and any other devices that do not constitute consumer goods, as defined in </w:t>
      </w:r>
      <w:r>
        <w:t>Title 11, section 9‑1102,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 (AMD); PL 1999, c. 699, Pt. D, §30 (AFF).]</w:t>
      </w:r>
    </w:p>
    <w:p>
      <w:pPr>
        <w:jc w:val="both"/>
        <w:spacing w:before="100" w:after="100"/>
        <w:ind w:start="360"/>
        <w:ind w:firstLine="360"/>
      </w:pPr>
      <w:r>
        <w:rPr>
          <w:b/>
        </w:rPr>
        <w:t>10</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§32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§1 (RPR).]</w:t>
      </w:r>
    </w:p>
    <w:p>
      <w:pPr>
        <w:jc w:val="both"/>
        <w:spacing w:before="100" w:after="0"/>
        <w:ind w:start="360"/>
      </w:pPr>
      <w:r>
        <w:rPr/>
      </w:r>
      <w:r>
        <w:rPr/>
      </w:r>
      <w:r>
        <w:t xml:space="preserve">In the event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 (AMD). PL 1975, c. 298, §1 (AMD). PL 1977, c. 161, §§1,2 (AMD). PL 1979, c. 661, §1 (AMD). PL 1981, c. 229 (AMD). PL 1981, c. 293, §1 (AMD). PL 1981, c. 470, §A17 (AMD). PL 1981, c. 618, §3 (AMD). PL 1983, c. 87, §1 (AMD). PL 1983, c. 598 (AMD). PL 1985, c. 763, §§A21-23 (AMD). PL 1985, c. 819, §§B3,4 (AMD). PL 1987, c. 129, §§31,32 (AMD). PL 1993, c. 188, §§1,2 (AMD). PL 1997, c. 727, §§B3,4 (AMD). PL 1999, c. 699, §D2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Finance charge for consumer credit sales other than open-end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Finance charge for consumer credit sales other than open-end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§2-201. FINANCE CHARGE FOR CONSUMER CREDIT SALES OTHER THAN OPEN-END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