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Cooperation between administrator and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Cooperation between administrator and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§4-111. COOPERATION BETWEEN ADMINISTRATOR AND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