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Rulemaking</w:t>
      </w:r>
    </w:p>
    <w:p>
      <w:pPr>
        <w:jc w:val="both"/>
        <w:spacing w:before="100" w:after="100"/>
        <w:ind w:start="360"/>
        <w:ind w:firstLine="360"/>
      </w:pPr>
      <w:r>
        <w:rPr/>
      </w:r>
      <w:r>
        <w:rPr/>
      </w:r>
      <w:r>
        <w:t xml:space="preserve">The Superintendent of Financial Institutions, the Superintendent of Insurance and the Superintendent of Consumer Credit Protection may undertake joint rulemaking, pursuant to this section, </w:t>
      </w:r>
      <w:r>
        <w:t>Title 9‑B, section 448, subsection 5</w:t>
      </w:r>
      <w:r>
        <w:t xml:space="preserve"> and </w:t>
      </w:r>
      <w:r>
        <w:t>Title 24‑A, section 1443‑A, subsection 3</w:t>
      </w:r>
      <w:r>
        <w:t xml:space="preserve"> to carry out the purposes of </w:t>
      </w:r>
      <w:r>
        <w:t>section 4‑406</w:t>
      </w:r>
      <w:r>
        <w:t xml:space="preserve">, including issues regarding signs, the physical location of sales of insurance and identification of producers affiliated with financial institutions, credit unions, financial institution holding companies or supervised lenders.  In adopting rules pursuant to this Part, the Superintendent of Financial Institutions, the Superintendent of Insurance and the Superintendent of Consumer Credit Protection shall consider the possibility of confusion and perception of coercion among the insurance 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that protects the insurance consuming public.  Rules adopted under this Part are routine technical rules pursuant to </w:t>
      </w:r>
      <w:r>
        <w:t>Title 5, chapter 375, subchapter 2‑A</w:t>
      </w:r>
      <w:r>
        <w:t xml:space="preserve">.  Nothing in this section is intended to restrict or interfere with the ability of the Bureau of Insurance, the Bureau of Financial Institutions or the Bureau of Consumer Credit Protection to adopt rules with respect to areas in which the respective agencies have independent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676,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1999, c. 127, §A19 (AMD). PL 2001, c. 44, §11 (AMD). PL 2001, c. 44, §14 (AFF). PL 2007, c. 273, Pt. B, §§5, 6 (REV). PL 2007, c. 273, Pt. B, §7 (AFF). PL 2007, c. 695, Pt. A, §47 (AFF). PL 2021, c. 676, Pt.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§4-407.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