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Capital</w:t>
      </w:r>
    </w:p>
    <w:p>
      <w:pPr>
        <w:jc w:val="both"/>
        <w:spacing w:before="100" w:after="100"/>
        <w:ind w:start="360"/>
        <w:ind w:firstLine="360"/>
      </w:pPr>
      <w:r>
        <w:rPr>
          <w:b/>
        </w:rPr>
        <w:t>1</w:t>
        <w:t xml:space="preserve">.  </w:t>
      </w:r>
      <w:r>
        <w:rPr>
          <w:b/>
        </w:rPr>
        <w:t xml:space="preserve">Initial capital.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§2 (RP).]</w:t>
      </w:r>
    </w:p>
    <w:p>
      <w:pPr>
        <w:jc w:val="both"/>
        <w:spacing w:before="100" w:after="0"/>
        <w:ind w:start="360"/>
        <w:ind w:firstLine="360"/>
      </w:pPr>
      <w:r>
        <w:rPr>
          <w:b/>
        </w:rPr>
        <w:t>2</w:t>
        <w:t xml:space="preserve">.  </w:t>
      </w:r>
      <w:r>
        <w:rPr>
          <w:b/>
        </w:rPr>
        <w:t xml:space="preserve">Capital.</w:t>
        <w:t xml:space="preserve"> </w:t>
      </w:r>
      <w:r>
        <w:t xml:space="preserve"> </w:t>
      </w:r>
      <w:r>
        <w:t xml:space="preserve">A merchant bank must have initial paid-in capital in accordance with </w:t>
      </w:r>
      <w:r>
        <w:t>chapter 31</w:t>
      </w:r>
      <w:r>
        <w:t xml:space="preserve"> and shall maintain minimum capital in accordance with </w:t>
      </w:r>
      <w:r>
        <w:t>section 412‑A</w:t>
      </w:r>
      <w:r>
        <w:t xml:space="preserve"> or any rules adopted under </w:t>
      </w:r>
      <w:r>
        <w:t>section 412‑A</w:t>
      </w:r>
      <w:r>
        <w:t xml:space="preserve">.  The superintendent may establish different capital maintenance standards for merchant banks than for other financial institutions organized under this Title.  The minimum capital maintenance standards for a merchant bank may not be less than a level equal to 150% of the tier 1 risk-based capital and 150% of total risk-based capital established from time to time by the Board of Governors of the Federal Reserve System for a well-capitalized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§J2 (NEW). PL 1999, c. 539,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§1223. Capital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Capital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§1223. CAPITAL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