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1235</w:t>
        <w:t xml:space="preserve">.  </w:t>
      </w:r>
      <w:r>
        <w:rPr>
          <w:b/>
        </w:rPr>
        <w:t xml:space="preserve">Lending limits</w:t>
      </w:r>
    </w:p>
    <w:p>
      <w:pPr>
        <w:jc w:val="both"/>
        <w:spacing w:before="100" w:after="100"/>
        <w:ind w:start="360"/>
        <w:ind w:firstLine="360"/>
      </w:pPr>
      <w:r>
        <w:rPr/>
      </w:r>
      <w:r>
        <w:rPr/>
      </w:r>
      <w:r>
        <w:t xml:space="preserve">An uninsured bank's lending limit is governed by </w:t>
      </w:r>
      <w:r>
        <w:t>section 439‑A</w:t>
      </w:r>
      <w:r>
        <w:t xml:space="preserve"> or rules adopted under </w:t>
      </w:r>
      <w:r>
        <w:t>section 439‑A</w:t>
      </w:r>
      <w:r>
        <w:t xml:space="preserve">, except that loans or extensions of credit to a person are limited to 15% of total capital.</w:t>
      </w:r>
      <w:r>
        <w:t xml:space="preserve">  </w:t>
      </w:r>
      <w:r xmlns:wp="http://schemas.openxmlformats.org/drawingml/2010/wordprocessingDrawing" xmlns:w15="http://schemas.microsoft.com/office/word/2012/wordml">
        <w:rPr>
          <w:rFonts w:ascii="Arial" w:hAnsi="Arial" w:cs="Arial"/>
          <w:sz w:val="22"/>
          <w:szCs w:val="22"/>
        </w:rPr>
        <w:t xml:space="preserve">[PL 1997, c. 398,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§1235. Lending limits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§1235. Lending limits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§1235. LENDING LIMITS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