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150-X</w:t>
        <w:t xml:space="preserve">.  </w:t>
      </w:r>
      <w:r>
        <w:rPr>
          <w:b/>
        </w:rPr>
        <w:t xml:space="preserve">Progressive Supranuclear Palsy Month</w:t>
      </w:r>
    </w:p>
    <w:p>
      <w:pPr>
        <w:jc w:val="both"/>
        <w:spacing w:before="100" w:after="100"/>
        <w:ind w:start="360"/>
      </w:pPr>
      <w:r>
        <w:rPr>
          <w:b/>
        </w:rPr>
        <w:t>(REALLOCATED FROM TITLE 1, SECTION 150-V)</w:t>
      </w:r>
    </w:p>
    <w:p>
      <w:pPr>
        <w:jc w:val="both"/>
        <w:spacing w:before="100" w:after="100"/>
        <w:ind w:start="360"/>
        <w:ind w:firstLine="360"/>
      </w:pPr>
      <w:r>
        <w:rPr/>
      </w:r>
      <w:r>
        <w:rPr/>
      </w:r>
      <w:r>
        <w:t xml:space="preserve">The month of May of each year is designated as Progressive Supranuclear Palsy Month, and the Governor shall issue annually a proclamation inviting and urging the people of the State to observe the month through appropriate activities.</w:t>
      </w:r>
      <w:r>
        <w:t xml:space="preserve">  </w:t>
      </w:r>
      <w:r xmlns:wp="http://schemas.openxmlformats.org/drawingml/2010/wordprocessingDrawing" xmlns:w15="http://schemas.microsoft.com/office/word/2012/wordml">
        <w:rPr>
          <w:rFonts w:ascii="Arial" w:hAnsi="Arial" w:cs="Arial"/>
          <w:sz w:val="22"/>
          <w:szCs w:val="22"/>
        </w:rPr>
        <w:t xml:space="preserve">[PL 2025, c. 81, §1 (NEW); RR 2025, c. 1, Pt. A, §1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81, §1 (NEW). RR 2025, c. 1, Pt. A, §1 (RAL).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§150-X. Progressive Supranuclear Palsy Month</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§150-X. Progressive Supranuclear Palsy Month</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 §150-X. PROGRESSIVE SUPRANUCLEAR PALSY MONTH</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