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1-A</w:t>
      </w:r>
    </w:p>
    <w:p>
      <w:pPr>
        <w:jc w:val="center"/>
        <w:ind w:start="360"/>
        <w:spacing w:before="300" w:after="300"/>
      </w:pPr>
      <w:r>
        <w:rPr>
          <w:b/>
        </w:rPr>
        <w:t xml:space="preserve">INTERNATIONAL TRADE AND THE ECONOMY</w:t>
      </w:r>
    </w:p>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1-A. INTERNATIONAL TRADE AND THE ECONOMY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1-A. INTERNATIONAL TRADE AND THE ECONOMY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1-A. INTERNATIONAL TRADE AND THE ECONOMY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