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COMMUNITY INDUSTRIAL BUILDINGS IN MAINE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 COMMUNITY INDUSTRIAL BUILDINGS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