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202-E</w:t>
      </w:r>
    </w:p>
    <w:p>
      <w:pPr>
        <w:jc w:val="center"/>
        <w:ind w:start="360"/>
        <w:spacing w:before="300" w:after="300"/>
      </w:pPr>
      <w:r>
        <w:rPr>
          <w:b/>
        </w:rPr>
        <w:t xml:space="preserve">TRUTH IN MUSIC ADVERTISING</w:t>
      </w:r>
    </w:p>
    <w:p>
      <w:pPr>
        <w:jc w:val="both"/>
        <w:spacing w:before="100" w:after="100"/>
        <w:ind w:start="1080" w:hanging="720"/>
      </w:pPr>
      <w:r>
        <w:rPr>
          <w:b/>
        </w:rPr>
        <w:t>§</w:t>
        <w:t>1156</w:t>
        <w:t xml:space="preserve">.  </w:t>
      </w:r>
      <w:r>
        <w:rPr>
          <w:b/>
        </w:rPr>
        <w:t xml:space="preserve">Short title</w:t>
      </w:r>
    </w:p>
    <w:p>
      <w:pPr>
        <w:jc w:val="both"/>
        <w:spacing w:before="100" w:after="100"/>
        <w:ind w:start="360"/>
        <w:ind w:firstLine="360"/>
      </w:pPr>
      <w:r>
        <w:rPr/>
      </w:r>
      <w:r>
        <w:rPr/>
      </w:r>
      <w:r>
        <w:t xml:space="preserve">This chapter is known and may be cited as "the Truth in Music Advertising Act."</w:t>
      </w:r>
      <w:r>
        <w:t xml:space="preserve">  </w:t>
      </w:r>
      <w:r xmlns:wp="http://schemas.openxmlformats.org/drawingml/2010/wordprocessingDrawing" xmlns:w15="http://schemas.microsoft.com/office/word/2012/wordml">
        <w:rPr>
          <w:rFonts w:ascii="Arial" w:hAnsi="Arial" w:cs="Arial"/>
          <w:sz w:val="22"/>
          <w:szCs w:val="22"/>
        </w:rPr>
        <w:t xml:space="preserve">[PL 2007, c. 171,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 </w:t>
      </w:r>
    </w:p>
    <w:p>
      <w:pPr>
        <w:jc w:val="both"/>
        <w:spacing w:before="100" w:after="100"/>
        <w:ind w:start="1080" w:hanging="720"/>
      </w:pPr>
      <w:r>
        <w:rPr>
          <w:b/>
        </w:rPr>
        <w:t>§</w:t>
        <w:t>1157</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171, §1 (NEW).]</w:t>
      </w:r>
    </w:p>
    <w:p>
      <w:pPr>
        <w:jc w:val="both"/>
        <w:spacing w:before="100" w:after="0"/>
        <w:ind w:start="360"/>
        <w:ind w:firstLine="360"/>
      </w:pPr>
      <w:r>
        <w:rPr>
          <w:b/>
        </w:rPr>
        <w:t>1</w:t>
        <w:t xml:space="preserve">.  </w:t>
      </w:r>
      <w:r>
        <w:rPr>
          <w:b/>
        </w:rPr>
        <w:t xml:space="preserve">Performing group.</w:t>
        <w:t xml:space="preserve"> </w:t>
      </w:r>
      <w:r>
        <w:t xml:space="preserve"> </w:t>
      </w:r>
      <w:r>
        <w:t xml:space="preserve">"Performing group" means a vocal or instrumental group seeking to use the name of another group that has previously released a commercial sound recording under that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w:pPr>
        <w:jc w:val="both"/>
        <w:spacing w:before="100" w:after="0"/>
        <w:ind w:start="360"/>
        <w:ind w:firstLine="360"/>
      </w:pPr>
      <w:r>
        <w:rPr>
          <w:b/>
        </w:rPr>
        <w:t>2</w:t>
        <w:t xml:space="preserve">.  </w:t>
      </w:r>
      <w:r>
        <w:rPr>
          <w:b/>
        </w:rPr>
        <w:t xml:space="preserve">Person.</w:t>
        <w:t xml:space="preserve"> </w:t>
      </w:r>
      <w:r>
        <w:t xml:space="preserve"> </w:t>
      </w:r>
      <w:r>
        <w:t xml:space="preserve">"Person" means any individual, partnership, corporation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w:pPr>
        <w:jc w:val="both"/>
        <w:spacing w:before="100" w:after="0"/>
        <w:ind w:start="360"/>
        <w:ind w:firstLine="360"/>
      </w:pPr>
      <w:r>
        <w:rPr>
          <w:b/>
        </w:rPr>
        <w:t>3</w:t>
        <w:t xml:space="preserve">.  </w:t>
      </w:r>
      <w:r>
        <w:rPr>
          <w:b/>
        </w:rPr>
        <w:t xml:space="preserve">Recording group.</w:t>
        <w:t xml:space="preserve"> </w:t>
      </w:r>
      <w:r>
        <w:t xml:space="preserve"> </w:t>
      </w:r>
      <w:r>
        <w:t xml:space="preserve">"Recording group" means a vocal or instrumental group at least one of whose members has previously released a commercial sound recording under that group's name and in which the member has a legal right by virtue of use or operation under the group name without having abandoned the name or affiliation with the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w:pPr>
        <w:jc w:val="both"/>
        <w:spacing w:before="100" w:after="0"/>
        <w:ind w:start="360"/>
        <w:ind w:firstLine="360"/>
      </w:pPr>
      <w:r>
        <w:rPr>
          <w:b/>
        </w:rPr>
        <w:t>4</w:t>
        <w:t xml:space="preserve">.  </w:t>
      </w:r>
      <w:r>
        <w:rPr>
          <w:b/>
        </w:rPr>
        <w:t xml:space="preserve">Sound recording.</w:t>
        <w:t xml:space="preserve"> </w:t>
      </w:r>
      <w:r>
        <w:t xml:space="preserve"> </w:t>
      </w:r>
      <w:r>
        <w:t xml:space="preserve">"Sound recording" means a work that results from the fixation on a material object of a series of musical, spoken or other sounds regardless of the nature of the material object, such as a disc, tape or other phonorecord, in which the sounds are embodied.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 </w:t>
      </w:r>
    </w:p>
    <w:p>
      <w:pPr>
        <w:jc w:val="both"/>
        <w:spacing w:before="100" w:after="100"/>
        <w:ind w:start="1080" w:hanging="720"/>
      </w:pPr>
      <w:r>
        <w:rPr>
          <w:b/>
        </w:rPr>
        <w:t>§</w:t>
        <w:t>1158</w:t>
        <w:t xml:space="preserve">.  </w:t>
      </w:r>
      <w:r>
        <w:rPr>
          <w:b/>
        </w:rPr>
        <w:t xml:space="preserve">Production</w:t>
      </w:r>
    </w:p>
    <w:p>
      <w:pPr>
        <w:jc w:val="both"/>
        <w:spacing w:before="100" w:after="100"/>
        <w:ind w:start="360"/>
        <w:ind w:firstLine="360"/>
      </w:pPr>
      <w:r>
        <w:rPr/>
      </w:r>
      <w:r>
        <w:rPr/>
      </w:r>
      <w:r>
        <w:t xml:space="preserve">A person may not promote, advertise or conduct a live musical performance or production in this State through the use of a false, deceptive or misleading affiliation, connection or association between a performing group and a recording group unless:</w:t>
      </w:r>
      <w:r>
        <w:t xml:space="preserve">  </w:t>
      </w:r>
      <w:r xmlns:wp="http://schemas.openxmlformats.org/drawingml/2010/wordprocessingDrawing" xmlns:w15="http://schemas.microsoft.com/office/word/2012/wordml">
        <w:rPr>
          <w:rFonts w:ascii="Arial" w:hAnsi="Arial" w:cs="Arial"/>
          <w:sz w:val="22"/>
          <w:szCs w:val="22"/>
        </w:rPr>
        <w:t xml:space="preserve">[PL 2007, c. 171, §1 (NEW).]</w:t>
      </w:r>
    </w:p>
    <w:p>
      <w:pPr>
        <w:jc w:val="both"/>
        <w:spacing w:before="100" w:after="0"/>
        <w:ind w:start="360"/>
        <w:ind w:firstLine="360"/>
      </w:pPr>
      <w:r>
        <w:rPr>
          <w:b/>
        </w:rPr>
        <w:t>1</w:t>
        <w:t xml:space="preserve">.  </w:t>
      </w:r>
      <w:r>
        <w:rPr>
          <w:b/>
        </w:rPr>
        <w:t xml:space="preserve">Authorized; federal service mark.</w:t>
        <w:t xml:space="preserve"> </w:t>
      </w:r>
      <w:r>
        <w:t xml:space="preserve"> </w:t>
      </w:r>
      <w:r>
        <w:t xml:space="preserve">The performing group is the authorized registrant and owner of a federal service mark for that group registered in the United States Patent and Trademark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w:pPr>
        <w:jc w:val="both"/>
        <w:spacing w:before="100" w:after="0"/>
        <w:ind w:start="360"/>
        <w:ind w:firstLine="360"/>
      </w:pPr>
      <w:r>
        <w:rPr>
          <w:b/>
        </w:rPr>
        <w:t>2</w:t>
        <w:t xml:space="preserve">.  </w:t>
      </w:r>
      <w:r>
        <w:rPr>
          <w:b/>
        </w:rPr>
        <w:t xml:space="preserve">Legal right.</w:t>
        <w:t xml:space="preserve"> </w:t>
      </w:r>
      <w:r>
        <w:t xml:space="preserve"> </w:t>
      </w:r>
      <w:r>
        <w:t xml:space="preserve">At least one member of the performing group was a member of the recording group and has a legal right by virtue of use or operation under the group name without having abandoned the name or affiliation with the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w:pPr>
        <w:jc w:val="both"/>
        <w:spacing w:before="100" w:after="0"/>
        <w:ind w:start="360"/>
        <w:ind w:firstLine="360"/>
      </w:pPr>
      <w:r>
        <w:rPr>
          <w:b/>
        </w:rPr>
        <w:t>3</w:t>
        <w:t xml:space="preserve">.  </w:t>
      </w:r>
      <w:r>
        <w:rPr>
          <w:b/>
        </w:rPr>
        <w:t xml:space="preserve">Salute or tribute.</w:t>
        <w:t xml:space="preserve"> </w:t>
      </w:r>
      <w:r>
        <w:t xml:space="preserve"> </w:t>
      </w:r>
      <w:r>
        <w:t xml:space="preserve">The live musical performance or production is identified in all advertising and promotion as a salute or tribute and the name of the performing group is not so closely related or similar to the name used by the recording group that it would tend to confuse or mislead the public;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w:pPr>
        <w:jc w:val="both"/>
        <w:spacing w:before="100" w:after="0"/>
        <w:ind w:start="360"/>
        <w:ind w:firstLine="360"/>
      </w:pPr>
      <w:r>
        <w:rPr>
          <w:b/>
        </w:rPr>
        <w:t>4</w:t>
        <w:t xml:space="preserve">.  </w:t>
      </w:r>
      <w:r>
        <w:rPr>
          <w:b/>
        </w:rPr>
        <w:t xml:space="preserve">Expressly authorized.</w:t>
        <w:t xml:space="preserve"> </w:t>
      </w:r>
      <w:r>
        <w:t xml:space="preserve"> </w:t>
      </w:r>
      <w:r>
        <w:t xml:space="preserve">The performance or production is expressly authorized by the recording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 </w:t>
      </w:r>
    </w:p>
    <w:p>
      <w:pPr>
        <w:jc w:val="both"/>
        <w:spacing w:before="100" w:after="100"/>
        <w:ind w:start="1080" w:hanging="720"/>
      </w:pPr>
      <w:r>
        <w:rPr>
          <w:b/>
        </w:rPr>
        <w:t>§</w:t>
        <w:t>1159</w:t>
        <w:t xml:space="preserve">.  </w:t>
      </w:r>
      <w:r>
        <w:rPr>
          <w:b/>
        </w:rPr>
        <w:t xml:space="preserve">Restraining prohibited acts</w:t>
      </w:r>
    </w:p>
    <w:p>
      <w:pPr>
        <w:jc w:val="both"/>
        <w:spacing w:before="100" w:after="0"/>
        <w:ind w:start="360"/>
        <w:ind w:firstLine="360"/>
      </w:pPr>
      <w:r>
        <w:rPr>
          <w:b/>
        </w:rPr>
        <w:t>1</w:t>
        <w:t xml:space="preserve">.  </w:t>
      </w:r>
      <w:r>
        <w:rPr>
          <w:b/>
        </w:rPr>
        <w:t xml:space="preserve">Injunction.</w:t>
        <w:t xml:space="preserve"> </w:t>
      </w:r>
      <w:r>
        <w:t xml:space="preserve"> </w:t>
      </w:r>
      <w:r>
        <w:t xml:space="preserve">Whenever the Attorney General or a district attorney has reason to believe that a person is promoting, advertising or conducting or is preparing to promote, advertise or conduct a live musical performance or production in violation of </w:t>
      </w:r>
      <w:r>
        <w:t>section 1158</w:t>
      </w:r>
      <w:r>
        <w:t xml:space="preserve"> and that proceedings would be in the public interest, the Attorney General or district attorney may bring an action in the name of the State against the person to restrain that practice by temporary or permanent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w:pPr>
        <w:jc w:val="both"/>
        <w:spacing w:before="100" w:after="0"/>
        <w:ind w:start="360"/>
        <w:ind w:firstLine="360"/>
      </w:pPr>
      <w:r>
        <w:rPr>
          <w:b/>
        </w:rPr>
        <w:t>2</w:t>
        <w:t xml:space="preserve">.  </w:t>
      </w:r>
      <w:r>
        <w:rPr>
          <w:b/>
        </w:rPr>
        <w:t xml:space="preserve">Payment of costs and restitution.</w:t>
        <w:t xml:space="preserve"> </w:t>
      </w:r>
      <w:r>
        <w:t xml:space="preserve"> </w:t>
      </w:r>
      <w:r>
        <w:t xml:space="preserve">Whenever any court issues a permanent injunction to restrain and prevent violations of this chapter as authorized in </w:t>
      </w:r>
      <w:r>
        <w:t>subsection 1</w:t>
      </w:r>
      <w:r>
        <w:t xml:space="preserve">, the court may in its discretion direct that the defendant restore to the recording group any money or property, real or personal, that has been acquired by means of any violation of this chapter, under terms and conditions to be established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 </w:t>
      </w:r>
    </w:p>
    <w:p>
      <w:pPr>
        <w:jc w:val="both"/>
        <w:spacing w:before="100" w:after="100"/>
        <w:ind w:start="1080" w:hanging="720"/>
      </w:pPr>
      <w:r>
        <w:rPr>
          <w:b/>
        </w:rPr>
        <w:t>§</w:t>
        <w:t>1160</w:t>
        <w:t xml:space="preserve">.  </w:t>
      </w:r>
      <w:r>
        <w:rPr>
          <w:b/>
        </w:rPr>
        <w:t xml:space="preserve">Penalty</w:t>
      </w:r>
    </w:p>
    <w:p>
      <w:pPr>
        <w:jc w:val="both"/>
        <w:spacing w:before="100" w:after="100"/>
        <w:ind w:start="360"/>
        <w:ind w:firstLine="360"/>
      </w:pPr>
      <w:r>
        <w:rPr/>
      </w:r>
      <w:r>
        <w:rPr/>
      </w:r>
      <w:r>
        <w:t xml:space="preserve">In addition to any other relief that may be granted under </w:t>
      </w:r>
      <w:r>
        <w:t>section 1159</w:t>
      </w:r>
      <w:r>
        <w:t xml:space="preserve">, a person who violates </w:t>
      </w:r>
      <w:r>
        <w:t>section 1158</w:t>
      </w:r>
      <w:r>
        <w:t xml:space="preserve"> commits a civil violation for which a fine of not less than $500 per violation may be adjudged.  Each performance or production advertised or conducted in violation of </w:t>
      </w:r>
      <w:r>
        <w:t>section 1158</w:t>
      </w:r>
      <w:r>
        <w:t xml:space="preserve"> constitutes a separate violation.</w:t>
      </w:r>
      <w:r>
        <w:t xml:space="preserve">  </w:t>
      </w:r>
      <w:r xmlns:wp="http://schemas.openxmlformats.org/drawingml/2010/wordprocessingDrawing" xmlns:w15="http://schemas.microsoft.com/office/word/2012/wordml">
        <w:rPr>
          <w:rFonts w:ascii="Arial" w:hAnsi="Arial" w:cs="Arial"/>
          <w:sz w:val="22"/>
          <w:szCs w:val="22"/>
        </w:rPr>
        <w:t xml:space="preserve">[PL 2007, c. 171,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 </w:t>
      </w:r>
    </w:p>
    <w:p>
      <w:pPr>
        <w:jc w:val="both"/>
        <w:spacing w:before="100" w:after="100"/>
        <w:ind w:start="1080" w:hanging="720"/>
      </w:pPr>
      <w:r>
        <w:rPr>
          <w:b/>
        </w:rPr>
        <w:t>§</w:t>
        <w:t>1160-A</w:t>
        <w:t xml:space="preserve">.  </w:t>
      </w:r>
      <w:r>
        <w:rPr>
          <w:b/>
        </w:rPr>
        <w:t xml:space="preserve">Exemption</w:t>
      </w:r>
    </w:p>
    <w:p>
      <w:pPr>
        <w:jc w:val="both"/>
        <w:spacing w:before="100" w:after="100"/>
        <w:ind w:start="360"/>
        <w:ind w:firstLine="360"/>
      </w:pPr>
      <w:r>
        <w:rPr/>
      </w:r>
      <w:r>
        <w:rPr/>
      </w:r>
      <w:r>
        <w:t xml:space="preserve">This chapter does not apply to any nonprofit corporation incorporated under the laws of this State and subject to the provisions of </w:t>
      </w:r>
      <w:r>
        <w:t>Title 13, chapter 81</w:t>
      </w:r>
      <w:r>
        <w:t xml:space="preserve"> or </w:t>
      </w:r>
      <w:r>
        <w:t>93</w:t>
      </w:r>
      <w:r>
        <w:t xml:space="preserve"> or the Maine Nonprofit Corporation Act.</w:t>
      </w:r>
      <w:r>
        <w:t xml:space="preserve">  </w:t>
      </w:r>
      <w:r xmlns:wp="http://schemas.openxmlformats.org/drawingml/2010/wordprocessingDrawing" xmlns:w15="http://schemas.microsoft.com/office/word/2012/wordml">
        <w:rPr>
          <w:rFonts w:ascii="Arial" w:hAnsi="Arial" w:cs="Arial"/>
          <w:sz w:val="22"/>
          <w:szCs w:val="22"/>
        </w:rPr>
        <w:t xml:space="preserve">[PL 2007, c. 171,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202-E. TRUTH IN MUSIC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202-E. TRUTH IN MUSIC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202-E. TRUTH IN MUSIC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