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SHOES AND LEATHER GOODS</w:t>
      </w:r>
    </w:p>
    <w:p>
      <w:pPr>
        <w:jc w:val="center"/>
        <w:ind w:start="360"/>
        <w:spacing w:before="300" w:after="300"/>
      </w:pPr>
      <w:r>
        <w:rPr>
          <w:b/>
        </w:rPr>
        <w:t>(REPEALED)</w:t>
      </w:r>
    </w:p>
    <w:p>
      <w:pPr>
        <w:jc w:val="both"/>
        <w:spacing w:before="100" w:after="100"/>
        <w:ind w:start="1080" w:hanging="720"/>
      </w:pPr>
      <w:r>
        <w:rPr>
          <w:b/>
        </w:rPr>
        <w:t>§</w:t>
        <w:t>1751</w:t>
        <w:t xml:space="preserve">.  </w:t>
      </w:r>
      <w:r>
        <w:rPr>
          <w:b/>
        </w:rPr>
        <w:t xml:space="preserve">Manufacturer of leather, boots and shoes may stamp his name thereon; counterfeiting stamp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311. SHOES AND LEATHER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SHOES AND LEATHER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311. SHOES AND LEATHER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