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Remedies</w:t>
      </w:r>
    </w:p>
    <w:p>
      <w:pPr>
        <w:jc w:val="both"/>
        <w:spacing w:before="100" w:after="100"/>
        <w:ind w:start="360"/>
        <w:ind w:firstLine="360"/>
      </w:pPr>
      <w:r>
        <w:rPr/>
      </w:r>
      <w:r>
        <w:rPr/>
      </w:r>
      <w:r>
        <w:t xml:space="preserve">Any holder of revenue obligation securities or attached coupons issued under this subchapter and the trustee under any trust agreement, except as restricted by the authorizing resolution, the trust agreement or applicable financial document, may, by appropriate legal action, protect and enforce any and all rights under the laws of the State or granted under this subchapter, the resolution, the trust agreement or financial document, including the appointment of a receiver, and may enforce and compel the performance of all duties required by this subchapter, the resolution, the trust agreement or financial document to be performed by the municipality, the municipal officers or by any officer, including the collecting of rates, fees and charges for the use of the project. Any suit, action or proceeding shall be brought for the benefit of all the holders of the securities and coupons.</w:t>
      </w:r>
      <w:r>
        <w:t xml:space="preserve">  </w:t>
      </w:r>
      <w:r xmlns:wp="http://schemas.openxmlformats.org/drawingml/2010/wordprocessingDrawing" xmlns:w15="http://schemas.microsoft.com/office/word/2012/wordml">
        <w:rPr>
          <w:rFonts w:ascii="Arial" w:hAnsi="Arial" w:cs="Arial"/>
          <w:sz w:val="22"/>
          <w:szCs w:val="22"/>
        </w:rPr>
        <w:t xml:space="preserve">[PL 1985, c. 344,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§1067.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§1067.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