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§1074-C. Allocation of certain national bond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§1074-C. Allocation of certain national bond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§1074-C. ALLOCATION OF CERTAIN NATIONAL BOND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