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Waiver of chapter void</w:t>
      </w:r>
    </w:p>
    <w:p>
      <w:pPr>
        <w:jc w:val="both"/>
        <w:spacing w:before="100" w:after="100"/>
        <w:ind w:start="360"/>
        <w:ind w:firstLine="360"/>
      </w:pPr>
      <w:r>
        <w:rPr/>
      </w:r>
      <w:r>
        <w:rPr/>
      </w:r>
      <w:r>
        <w:t xml:space="preserve">The provisions of this chapter are deemed to be incorporated in every agreement and supersede and control all other provisions of the agreement.  A supplier may not require any dealer to waive compliance with any provision of this chapter.  Any contract or agreement purporting to do so is void and unenforceable to the extent of the waiver or variance.  Nothing in this chapter may be construed to limit or prohibit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§1296. Waiver of 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Waiver of 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§1296. WAIVER OF 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