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Insolvent law</w:t>
      </w:r>
    </w:p>
    <w:p>
      <w:pPr>
        <w:jc w:val="both"/>
        <w:spacing w:before="100" w:after="100"/>
        <w:ind w:start="360"/>
      </w:pPr>
      <w:r>
        <w:rPr>
          <w:b w:val="true"/>
          <w:i/>
          <w:caps w:val="true"/>
        </w:rPr>
        <w:t xml:space="preserve">Revisor's Note: </w:t>
      </w:r>
      <w:r>
        <w:t>In accordance with the provisions of chapter 181 of the resolves of 1953 for the revision of statutes, chapter 162 of the Revised Statutes of 1954, entitled "The Insolvent Law", was incorporated and printed by title only. It is similarly incorporated herein and may be cited as 10 MRSA 1351. The laws relating to insolvency may be found in chapter 72 of the Revised Statutes of 1903, as amended by chapter 90 of the Public Laws of 1923, chapter 76 of the Public Laws of 1927 and chapter 149 of the Revised Statutes of 1944.</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Insolvent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Insolvent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§1351. INSOLVENT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