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 operator,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§26 (COR).]</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RR 2023, c. 2, Pt. C,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