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1378</w:t>
        <w:t xml:space="preserve">.  </w:t>
      </w:r>
      <w:r>
        <w:rPr>
          <w:b/>
        </w:rPr>
        <w:t xml:space="preserve">Abandonment</w:t>
      </w:r>
    </w:p>
    <w:p>
      <w:pPr>
        <w:jc w:val="both"/>
        <w:spacing w:before="100" w:after="100"/>
        <w:ind w:start="360"/>
        <w:ind w:firstLine="360"/>
      </w:pPr>
      <w:r>
        <w:rPr/>
      </w:r>
      <w:r>
        <w:rPr/>
      </w:r>
      <w:r>
        <w:t xml:space="preserve">In the case of an abandoned leased space, the operator has the right to immediately take possession of the leased space and dispose of any personal property in the leased space by any means at the operator's discretion.</w:t>
      </w:r>
      <w:r>
        <w:t xml:space="preserve">  </w:t>
      </w:r>
      <w:r xmlns:wp="http://schemas.openxmlformats.org/drawingml/2010/wordprocessingDrawing" xmlns:w15="http://schemas.microsoft.com/office/word/2012/wordml">
        <w:rPr>
          <w:rFonts w:ascii="Arial" w:hAnsi="Arial" w:cs="Arial"/>
          <w:sz w:val="22"/>
          <w:szCs w:val="22"/>
        </w:rPr>
        <w:t xml:space="preserve">[PL 2011, c. 376,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§1378. Abandonment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§1378. ABANDONMENT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