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1455</w:t>
        <w:t xml:space="preserve">.  </w:t>
      </w:r>
      <w:r>
        <w:rPr>
          <w:b/>
        </w:rPr>
        <w:t xml:space="preserve">Statute of limitations</w:t>
      </w:r>
    </w:p>
    <w:p>
      <w:pPr>
        <w:jc w:val="both"/>
        <w:spacing w:before="100" w:after="100"/>
        <w:ind w:start="360"/>
        <w:ind w:firstLine="360"/>
      </w:pPr>
      <w:r>
        <w:rPr/>
      </w:r>
      <w:r>
        <w:rPr/>
      </w:r>
      <w:r>
        <w:t xml:space="preserve">No action may be brought under this chapter for a cause of action which arose more than 2 years prior to the date such action is brought.</w:t>
      </w:r>
      <w:r>
        <w:t xml:space="preserve">  </w:t>
      </w:r>
      <w:r xmlns:wp="http://schemas.openxmlformats.org/drawingml/2010/wordprocessingDrawing" xmlns:w15="http://schemas.microsoft.com/office/word/2012/wordml">
        <w:rPr>
          <w:rFonts w:ascii="Arial" w:hAnsi="Arial" w:cs="Arial"/>
          <w:sz w:val="22"/>
          <w:szCs w:val="22"/>
        </w:rPr>
        <w:t xml:space="preserve">[PL 1975, c. 549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