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1500-G</w:t>
        <w:t xml:space="preserve">.  </w:t>
      </w:r>
      <w:r>
        <w:rPr>
          <w:b/>
        </w:rPr>
        <w:t xml:space="preserve">Unlawful acts; deceptive trade practice</w:t>
      </w:r>
    </w:p>
    <w:p>
      <w:pPr>
        <w:jc w:val="both"/>
        <w:spacing w:before="100" w:after="0"/>
        <w:ind w:start="360"/>
        <w:ind w:firstLine="360"/>
      </w:pPr>
      <w:r>
        <w:rPr>
          <w:b/>
        </w:rPr>
        <w:t>1</w:t>
        <w:t xml:space="preserve">.  </w:t>
      </w:r>
      <w:r>
        <w:rPr>
          <w:b/>
        </w:rPr>
        <w:t xml:space="preserve">False representation of authentic Indian products.</w:t>
        <w:t xml:space="preserve"> </w:t>
      </w:r>
      <w:r>
        <w:t xml:space="preserve"> </w:t>
      </w:r>
      <w:r>
        <w:t xml:space="preserve">A person may not offer or display for sale or sell goods in a manner that falsely suggests the goods are Indian-produced, Indian products or the products of a particular Indian or Indian tribe or Indian arts and crafts organization in a manner that violates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§23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  An action brought under this chapter by the Office of the Attorney General may not preclude a person from bringing a civil action to obtain injunctive or equitable relief or damages under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 PL 2023, c. 405,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§1500-G. Unlawful acts; deceptive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§1500-G. Unlawful acts; deceptive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§1500-G. UNLAWFUL ACTS; DECEPTIVE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