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except that, should the registrant prove that the registrant is the owner of a concurrent registration of the registrant's mark in the United States Patent and Trademark Office covering an area including this State, the registration may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[RR 2023, c. 2, Pt. C, §41 (COR).]</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§41 (COR).]</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RR 2023, c. 2, Pt. C,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 Cancellation;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Cancellation;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 CANCELLATION;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