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§1530. INJURY TO BUSINESS REPUTATION; DILUTION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