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Price</w:t>
      </w:r>
    </w:p>
    <w:p>
      <w:pPr>
        <w:jc w:val="both"/>
        <w:spacing w:before="100" w:after="100"/>
        <w:ind w:start="360"/>
        <w:ind w:firstLine="360"/>
      </w:pPr>
      <w:r>
        <w:rPr/>
      </w:r>
      <w:r>
        <w:rPr/>
      </w:r>
      <w:r>
        <w:t xml:space="preserve">The Maine Potato Commission shall have the authority to set prices on trademarked potatoes sold by licensed shippers or processors.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§1603.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§1603.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