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1661-B</w:t>
        <w:t xml:space="preserve">.  </w:t>
      </w:r>
      <w:r>
        <w:rPr>
          <w:b/>
        </w:rPr>
        <w:t xml:space="preserve">Requirement for gasoline stations to post prices of fuels sold</w:t>
      </w:r>
    </w:p>
    <w:p>
      <w:pPr>
        <w:jc w:val="both"/>
        <w:spacing w:before="100" w:after="0"/>
        <w:ind w:start="360"/>
        <w:ind w:firstLine="360"/>
      </w:pPr>
      <w:r>
        <w:rPr>
          <w:b/>
        </w:rPr>
        <w:t>1</w:t>
        <w:t xml:space="preserve">.  </w:t>
      </w:r>
      <w:r>
        <w:rPr>
          <w:b/>
        </w:rPr>
        <w:t xml:space="preserve">Posting required.</w:t>
        <w:t xml:space="preserve"> </w:t>
      </w:r>
      <w:r>
        <w:t xml:space="preserve"> </w:t>
      </w:r>
      <w:r>
        <w:t xml:space="preserve">A retail seller of fuel to be used by vehicles on public highways shall make clearly visible on each pump the price of the fuel available at that pump, either by posting a sign of no less than 64 square inches or by a price reading, digital or analog, built into the pump that must reflect the actual price of the fuel pumped.  The pump must have a sign of no less than 64 square inches on it if either the price on the pump differs from the price posted on the roadside sign due to a difference in grade of fuel or service or the retailer does not have a roadside sign.  On multi-grade pumps, the posted price must be for the lowest priced unleaded regular gasoline.  The posting must indicate the difference in price for full-service, mini-service and self-service if more than one grade of service is available at that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86, §1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partnership or corporation who violates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w:pPr>
        <w:jc w:val="both"/>
        <w:spacing w:before="100" w:after="0"/>
        <w:ind w:start="720"/>
      </w:pPr>
      <w:r>
        <w:rPr/>
        <w:t>B</w:t>
        <w:t xml:space="preserve">.  </w:t>
      </w:r>
      <w:r>
        <w:rPr/>
      </w:r>
      <w:r>
        <w:t xml:space="preserve">A person, firm, partnership or corporation who violates this section after having previously violated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§3 (RPR);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of Agriculture, Conservation and Forestry shall enforce this section pursuant to </w:t>
      </w:r>
      <w:r>
        <w:t>Title 7, 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§44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 §2 (NEW). PL 2003, c. 452, §§E3,4 (AMD). PL 2003, c. 452, §X2 (AFF). PL 2005, c. 512, §44 (AMD). PL 2007, c. 86,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§1661-B. Requirement for gasoline stations to post prices of fuels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§1661-B. Requirement for gasoline stations to post prices of fuels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§1661-B. REQUIREMENT FOR GASOLINE STATIONS TO POST PRICES OF FUELS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