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Report by Attorney General to Legislature</w:t>
      </w:r>
    </w:p>
    <w:p>
      <w:pPr>
        <w:jc w:val="both"/>
        <w:spacing w:before="100" w:after="100"/>
        <w:ind w:start="360"/>
        <w:ind w:firstLine="360"/>
      </w:pPr>
      <w:r>
        <w:rPr/>
      </w:r>
      <w:r>
        <w:rPr/>
      </w:r>
      <w:r>
        <w:t xml:space="preserve">Every 2 years beginning April 1, 2010, the Attorney General shall make a report to the Legislature describing the concentration of retail outlets in the State or in sections of the State without disclosing the name of any particular retailer or retail outlet.  The Attorney General shall include in the  report a recommendation to the Legislature as to whether additional legislation is needed to further limit or curtail the activity of refiners operating retail outlets.  In formulating a legislative recommendation, the Attorney General shall consult with industry stakeholders; notwithstanding this consultation requirement, the substance of the recommendation is a matter for the Attorney General's sole discretion.  Annually, beginning April 1, 2010, the Attorney General shall post on the Attorney General’s publicly accessible website the aggregate data collected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119,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2005, c. 155, §6 (AMD). PL 2009, c. 119,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§1677. Report by Attorney General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Report by Attorney General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§1677. REPORT BY ATTORNEY GENERAL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