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1680</w:t>
        <w:t xml:space="preserve">.  </w:t>
      </w:r>
      <w:r>
        <w:rPr>
          <w:b/>
        </w:rPr>
        <w:t xml:space="preserve">Private right of action</w:t>
      </w:r>
    </w:p>
    <w:p>
      <w:pPr>
        <w:jc w:val="both"/>
        <w:spacing w:before="100" w:after="100"/>
        <w:ind w:start="360"/>
        <w:ind w:firstLine="360"/>
      </w:pPr>
      <w:r>
        <w:rPr/>
      </w:r>
      <w:r>
        <w:rPr/>
      </w:r>
      <w:r>
        <w:t xml:space="preserve">A retailer, wholesaler or refiner who is injured as a result of a violation of </w:t>
      </w:r>
      <w:r>
        <w:t>Title 5, section 207</w:t>
      </w:r>
      <w:r>
        <w:t xml:space="preserve"> or </w:t>
      </w:r>
      <w:r>
        <w:t>section 1676</w:t>
      </w:r>
      <w:r>
        <w:t xml:space="preserve"> may maintain a civil action in Superior Court against the violator for damages and equitable relief.  In any action, the Superior Court shall enter a temporary, preliminary or permanent injunction to restrain further violations or threatened violations of </w:t>
      </w:r>
      <w:r>
        <w:t>section 1676</w:t>
      </w:r>
      <w:r>
        <w:t xml:space="preserve">, regardless of whether the complaining party has an adequate remedy in damages.  If the complaining party prevails in any action, the party is entitled to an award of reasonable attorneys' fees and court costs, including expert witness fees.</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§1680. Private right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§1680. Private right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§1680. PRIVATE RIGHT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