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Enforcement; jurisdiction</w:t>
      </w:r>
    </w:p>
    <w:p>
      <w:pPr>
        <w:jc w:val="both"/>
        <w:spacing w:before="100" w:after="100"/>
        <w:ind w:start="360"/>
        <w:ind w:firstLine="360"/>
      </w:pPr>
      <w:r>
        <w:rPr/>
      </w:r>
      <w:r>
        <w:rPr/>
      </w:r>
      <w:r>
        <w:t xml:space="preserve">The council or a duly authorized representative may recover penalties imposed for violation of </w:t>
      </w:r>
      <w:r>
        <w:t>section 1702</w:t>
      </w:r>
      <w:r>
        <w:t xml:space="preserve"> in a civil action brought in the name of the council, and if it prevails in such action shall recover full costs; or the council may prosecute for violations thereof by complaint or indictment. The District Court and the Superior Court shall have concurrent jurisdiction of actions brought for the recovery of penalties imposed by </w:t>
      </w:r>
      <w:r>
        <w:t>section 1702</w:t>
      </w:r>
      <w:r>
        <w:t xml:space="preserve">, and of prosecutions for violations thereof. All fines received under </w:t>
      </w:r>
      <w:r>
        <w:t>section 1702</w:t>
      </w:r>
      <w:r>
        <w:t xml:space="preserve"> by county treasurers shall be paid by them to the Treasurer of State and the same are appropriated for carrying out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§1706. Enforcement;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Enforcement;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§1706. ENFORCEMENT;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