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2</w:t>
        <w:t xml:space="preserve">.  </w:t>
      </w:r>
      <w:r>
        <w:rPr>
          <w:b/>
        </w:rPr>
        <w:t xml:space="preserve">County level</w:t>
      </w:r>
    </w:p>
    <w:p>
      <w:pPr>
        <w:jc w:val="both"/>
        <w:spacing w:before="100" w:after="100"/>
        <w:ind w:start="360"/>
        <w:ind w:firstLine="360"/>
      </w:pPr>
      <w:r>
        <w:rPr/>
      </w:r>
      <w:r>
        <w:rPr/>
      </w:r>
      <w:r>
        <w:t xml:space="preserve">Any county may expend not exceeding the sum of $5,000 annually under the direction of the county commissioners, to be accounted for as other moneys of the county, for advertising or promoting the natural resources, advantages and attractions of such county.</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§2. County level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§2. County level</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10, §2. COUNTY LEVEL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