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2366-A</w:t>
        <w:t xml:space="preserve">.  </w:t>
      </w:r>
      <w:r>
        <w:rPr>
          <w:b/>
        </w:rPr>
        <w:t xml:space="preserve">Disputed wood</w:t>
      </w:r>
    </w:p>
    <w:p>
      <w:pPr>
        <w:jc w:val="both"/>
        <w:spacing w:before="100" w:after="100"/>
        <w:ind w:start="360"/>
        <w:ind w:firstLine="360"/>
      </w:pPr>
      <w:r>
        <w:rPr/>
      </w:r>
      <w:r>
        <w:rPr/>
      </w:r>
      <w:r>
        <w:t xml:space="preserve">In case a dispute arises as to whether wood was accurately scaled or measured, the person aggrieved may file a complaint with the state sealer. Any complaint shall be initiated within 15 days of discovery of the alleged grievance.  The state sealer shall investigate the complaint.  As part of the investigation, the state sealer or deputy state sealer may subpoena such witnesses and documents as may be necessary to determine the matter, and may cause the disputed wood to be impounded and check measured if it may be separately identified.  In the event that an aggrieved party fails to file a complaint within 15 days from discovery of the alleged grievance, the aggrieved party is barred from seeking a remedy under </w:t>
      </w:r>
      <w:r>
        <w:t>section 2368,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862,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§10 (NEW). PL 1983, c. 862,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§2366-A. Disputed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§2366-A. Disputed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§2366-A. DISPUTED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