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2502</w:t>
        <w:t xml:space="preserve">.  </w:t>
      </w:r>
      <w:r>
        <w:rPr>
          <w:b/>
        </w:rPr>
        <w:t xml:space="preserve">Scale used; type; test</w:t>
      </w:r>
    </w:p>
    <w:p>
      <w:pPr>
        <w:jc w:val="both"/>
        <w:spacing w:before="100" w:after="100"/>
        <w:ind w:start="360"/>
        <w:ind w:firstLine="360"/>
      </w:pPr>
      <w:r>
        <w:rPr/>
      </w:r>
      <w:r>
        <w:rPr/>
      </w:r>
      <w:r>
        <w:t xml:space="preserve">When making a weight determination as provided for by this chapter, a licensed public weighmaster shall use a weighing device that is of a type suitable for the weighing of the amount and kind of material to be weighed and that has been tested and approved for use by the state sealer or a sealer within a period of 12 months immediately preceding the date of weighing.</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§2502. Scale used; type; test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§2502. Scale used; type; test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§2502. SCALE USED; TYPE; TEST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