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Misrepresentation of quantity</w:t>
      </w:r>
    </w:p>
    <w:p>
      <w:pPr>
        <w:jc w:val="both"/>
        <w:spacing w:before="100" w:after="100"/>
        <w:ind w:start="360"/>
        <w:ind w:firstLine="360"/>
      </w:pPr>
      <w:r>
        <w:rPr/>
      </w:r>
      <w:r>
        <w:rPr/>
      </w:r>
      <w:r>
        <w:t xml:space="preserve">A person may not sell, offer or expose for sale less than the quantity the person represents, nor take any more than the quantity the person represents when, as buyer, the person furnishes the weight or measure by means of which the quantity is determined.</w:t>
      </w:r>
      <w:r>
        <w:t xml:space="preserve">  </w:t>
      </w:r>
      <w:r xmlns:wp="http://schemas.openxmlformats.org/drawingml/2010/wordprocessingDrawing" xmlns:w15="http://schemas.microsoft.com/office/word/2012/wordml">
        <w:rPr>
          <w:rFonts w:ascii="Arial" w:hAnsi="Arial" w:cs="Arial"/>
          <w:sz w:val="22"/>
          <w:szCs w:val="22"/>
        </w:rPr>
        <w:t xml:space="preserve">[RR 2023, c. 2, Pt. C,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RR 2023, c. 2, Pt. C,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§2621. Misrepresentation of quantity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Misrepresentation of quantity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§2621. MISREPRESENTATION OF QUANTITY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