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2751-C</w:t>
        <w:t xml:space="preserve">.  </w:t>
      </w:r>
      <w:r>
        <w:rPr>
          <w:b/>
        </w:rPr>
        <w:t xml:space="preserve">Administrative penalties; holding of hearings</w:t>
      </w:r>
    </w:p>
    <w:p>
      <w:pPr>
        <w:jc w:val="both"/>
        <w:spacing w:before="100" w:after="100"/>
        <w:ind w:start="360"/>
        <w:ind w:firstLine="360"/>
      </w:pPr>
      <w:r>
        <w:rPr/>
      </w:r>
      <w:r>
        <w:rPr/>
      </w:r>
      <w:r>
        <w:t xml:space="preserve">When a person requests a hearing in a timely fashion consistent with </w:t>
      </w:r>
      <w:r>
        <w:t>section 2751‑B</w:t>
      </w:r>
      <w:r>
        <w:t xml:space="preserve">, the Commissioner of Agriculture, Conservation and Forestry shall provide notice of and hold the hearing pursuant to </w:t>
      </w:r>
      <w:r>
        <w:t>Title 5, sections 9052</w:t>
      </w:r>
      <w:r>
        <w:t xml:space="preserve"> to </w:t>
      </w:r>
      <w:r>
        <w:t>9064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193,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§2751-C. Administrative penalties; holding of hearings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§2751-C. Administrative penalties; holding of hearings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§2751-C. ADMINISTRATIVE PENALTIES; HOLDING OF HEARINGS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