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3262</w:t>
        <w:t xml:space="preserve">.  </w:t>
      </w:r>
      <w:r>
        <w:rPr>
          <w:b/>
        </w:rPr>
        <w:t xml:space="preserve">Enforcement by attachment</w:t>
      </w:r>
    </w:p>
    <w:p>
      <w:pPr>
        <w:jc w:val="both"/>
        <w:spacing w:before="100" w:after="100"/>
        <w:ind w:start="360"/>
        <w:ind w:firstLine="360"/>
      </w:pPr>
      <w:r>
        <w:rPr/>
      </w:r>
      <w:r>
        <w:rPr/>
      </w:r>
      <w:r>
        <w:t xml:space="preserve">In addition to the remedy provided, the liens mentioned in </w:t>
      </w:r>
      <w:r>
        <w:t>sections 3251</w:t>
      </w:r>
      <w:r>
        <w:t xml:space="preserve"> to </w:t>
      </w:r>
      <w:r>
        <w:t>3254</w:t>
      </w:r>
      <w:r>
        <w:t xml:space="preserve"> may be enforced by attachment in actions commenced in any court having jurisdiction in the county or division where the property on which a lien is claimed is situated, which attachment shall be made within 180 days after the last of the labor or services are performed, or labor, materials or services are furnished, and not afterwards, except as provided in </w:t>
      </w:r>
      <w:r>
        <w:t>section 3256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585,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91, §5 (AMD). PL 1981, c. 585,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§3262. Enforcement by attachment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§3262. Enforcement by attachment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§3262. ENFORCEMENT BY ATTACHMENT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