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 financial institution described in this section forecloses upon its lien, the proceeds realized after foreclosure must be applied first to satisfy all producers' liens having priority over the lien of the financial institution and then to satisfy the lien of the financial institution. The balance of the proceeds, if any, must be remitted to the commissioner or the commissioner's designee for distribution to producers having liens approved by the commissioner under section 3324 in the order of their priority. Any surplus remaining after the distribution to producers must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[RR 2023, c. 2, Pt. C,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RR 2023, c. 2, Pt. C,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§3325. PREFERENCE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