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3326</w:t>
        <w:t xml:space="preserve">.  </w:t>
      </w:r>
      <w:r>
        <w:rPr>
          <w:b/>
        </w:rPr>
        <w:t xml:space="preserve">Duration of lien</w:t>
      </w:r>
    </w:p>
    <w:p>
      <w:pPr>
        <w:jc w:val="both"/>
        <w:spacing w:before="100" w:after="100"/>
        <w:ind w:start="360"/>
        <w:ind w:firstLine="360"/>
      </w:pPr>
      <w:r>
        <w:rPr/>
      </w:r>
      <w:r>
        <w:rPr/>
      </w:r>
      <w:r>
        <w:t xml:space="preserve">Except as herein provided in </w:t>
      </w:r>
      <w:r>
        <w:t>section 3324</w:t>
      </w:r>
      <w:r>
        <w:t xml:space="preserve">, the lien of a producer shall remain in effect until the producer receives payment that satisfies the total claim of the producer against the processor.</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§3326. Duration of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§3326. Duration of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§3326. DURATION OF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