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Vehicles, aircraft and parachutes</w:t>
      </w:r>
    </w:p>
    <w:p>
      <w:pPr>
        <w:jc w:val="both"/>
        <w:spacing w:before="100" w:after="100"/>
        <w:ind w:start="360"/>
        <w:ind w:firstLine="360"/>
      </w:pPr>
      <w:r>
        <w:rPr/>
      </w:r>
      <w:r>
        <w:rPr/>
      </w:r>
      <w:r>
        <w:t xml:space="preserve">Whoever performs labor by himself or his employees in manufacturing or repairing the ironwork or woodwork of wagons, carts, sleighs and other vehicles, aircraft or component parts thereof, and parachutes, or so performing labor furnishes materials therefor or provides storage therefor by direction or consent of the owner thereof, shall have a lien on such vehicle, aircraft or component parts thereof, and parachutes for his reasonable charges for said labor, and for materials used in performing said labor, and for said storage, which takes precedence of all other claims and incumbrances on said vehicles, aircraft or component parts thereof, and parachutes not made to secure a similar lien, and may be enforced by attachment at any time within 90 days after such labor is performed or such materials or storage furnished and not afterwards, provided a claim for such lien is duly filed as required in </w:t>
      </w:r>
      <w:r>
        <w:t>section 3802</w:t>
      </w:r>
      <w:r>
        <w:t xml:space="preserve">. Said lien shall be dissolved if said property has actually changed ownership prior to such filing.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Vehicles, aircraft and parachutes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Vehicles, aircraft and parachutes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§3801. VEHICLES, AIRCRAFT AND PARACHUTES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