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Subsequent writs to be served by same officer unless disqualified</w:t>
      </w:r>
    </w:p>
    <w:p>
      <w:pPr>
        <w:jc w:val="both"/>
        <w:spacing w:before="100" w:after="100"/>
        <w:ind w:start="360"/>
        <w:ind w:firstLine="360"/>
      </w:pPr>
      <w:r>
        <w:rPr/>
      </w:r>
      <w:r>
        <w:rPr/>
      </w:r>
      <w:r>
        <w:t xml:space="preserve">On all writs of attachment made after the first attachment and while any lien attachment is pending, the attachment and services must be made by the same officer, or, if that officer is disqualified, by any qualified officer, by the officer giving notice thereof to the first attaching officer.</w:t>
      </w:r>
      <w:r>
        <w:t xml:space="preserve">  </w:t>
      </w:r>
      <w:r xmlns:wp="http://schemas.openxmlformats.org/drawingml/2010/wordprocessingDrawing" xmlns:w15="http://schemas.microsoft.com/office/word/2012/wordml">
        <w:rPr>
          <w:rFonts w:ascii="Arial" w:hAnsi="Arial" w:cs="Arial"/>
          <w:sz w:val="22"/>
          <w:szCs w:val="22"/>
        </w:rPr>
        <w:t xml:space="preserve">[RR 2023, c. 2, Pt. C,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§3857. Subsequent writs to be served by same officer unless disqualified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Subsequent writs to be served by same officer unless disqualified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§3857. SUBSEQUENT WRITS TO BE SERVED BY SAME OFFICER UNLESS DISQUALIFIED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