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4011</w:t>
        <w:t xml:space="preserve">.  </w:t>
      </w:r>
      <w:r>
        <w:rPr>
          <w:b/>
        </w:rPr>
        <w:t xml:space="preserve">Discharge</w:t>
      </w:r>
    </w:p>
    <w:p>
      <w:pPr>
        <w:jc w:val="both"/>
        <w:spacing w:before="100" w:after="100"/>
        <w:ind w:start="360"/>
        <w:ind w:firstLine="360"/>
      </w:pPr>
      <w:r>
        <w:rPr/>
      </w:r>
      <w:r>
        <w:rPr/>
      </w:r>
      <w:r>
        <w:t xml:space="preserve">All liens named herein may be discharged by tender of the sum due made by the debtor or owner of the property or the debtor's or owner's agents.</w:t>
      </w:r>
      <w:r>
        <w:t xml:space="preserve">  </w:t>
      </w:r>
      <w:r xmlns:wp="http://schemas.openxmlformats.org/drawingml/2010/wordprocessingDrawing" xmlns:w15="http://schemas.microsoft.com/office/word/2012/wordml">
        <w:rPr>
          <w:rFonts w:ascii="Arial" w:hAnsi="Arial" w:cs="Arial"/>
          <w:sz w:val="22"/>
          <w:szCs w:val="22"/>
        </w:rPr>
        <w:t xml:space="preserve">[RR 2023, c. 2, Pt. C, §106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§106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§4011.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§4011.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§4011.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