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9085</w:t>
        <w:t xml:space="preserve">.  </w:t>
      </w:r>
      <w:r>
        <w:rPr>
          <w:b/>
        </w:rPr>
        <w:t xml:space="preserve">Rules</w:t>
      </w:r>
    </w:p>
    <w:p>
      <w:pPr>
        <w:jc w:val="both"/>
        <w:spacing w:before="100" w:after="100"/>
        <w:ind w:start="360"/>
        <w:ind w:firstLine="360"/>
      </w:pPr>
      <w:r>
        <w:rPr/>
      </w:r>
      <w:r>
        <w:rPr/>
      </w:r>
      <w:r>
        <w:t xml:space="preserve">The board may make and enforce all necessary rules for the administration of this subchapter, and may repeal or amend such rules from time to time as may be in the public interest, insofar as that action is not in conflict with any of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210, Pt. B,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1995, c. 381, §1 (AMD). PL 2003, c. 689, §B6 (REV). PL 2017, c. 210, Pt. B,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§9085.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§9085.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