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9089</w:t>
        <w:t xml:space="preserve">.  </w:t>
      </w:r>
      <w:r>
        <w:rPr>
          <w:b/>
        </w:rPr>
        <w:t xml:space="preserve">Denial or refusal to renew license; disciplinary action</w:t>
      </w:r>
    </w:p>
    <w:p>
      <w:pPr>
        <w:jc w:val="both"/>
        <w:spacing w:before="100" w:after="100"/>
        <w:ind w:start="360"/>
        <w:ind w:firstLine="360"/>
      </w:pPr>
      <w:r>
        <w:rPr/>
      </w:r>
      <w:r>
        <w:rPr/>
      </w:r>
      <w:r>
        <w:t xml:space="preserve">The board may deny a license, refuse to renew a license or impose the disciplinary sanctions authorized by </w:t>
      </w:r>
      <w:r>
        <w:t>section 8003, subsection 5‑A</w:t>
      </w:r>
      <w:r>
        <w:t xml:space="preserve"> for any of the reasons enumerated in </w:t>
      </w:r>
      <w:r>
        <w:t>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1999, c. 547, §B78 (AMD). PL 1999, c. 547, §B80 (AFF). PL 2007, c. 402, Pt. D, §16 (RPR). PL 2021, c. 676, Pt. A,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§9089.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§9089.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§9089.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