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Notarization and acknowledgment</w:t>
      </w:r>
    </w:p>
    <w:p>
      <w:pPr>
        <w:jc w:val="both"/>
        <w:spacing w:before="100" w:after="100"/>
        <w:ind w:start="360"/>
        <w:ind w:firstLine="360"/>
      </w:pPr>
      <w:r>
        <w:rPr/>
      </w:r>
      <w:r>
        <w:rPr/>
      </w:r>
      <w:r>
        <w:t xml:space="preserve">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§9411. Notarization and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Notarization and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§9411. NOTARIZATION AND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