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§945-B. Members of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§945-B. Members of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§945-B. MEMBERS OF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